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C64" w:rsidRDefault="00EB4C64">
      <w:pPr>
        <w:rPr>
          <w:b/>
          <w:sz w:val="28"/>
          <w:szCs w:val="28"/>
        </w:rPr>
      </w:pPr>
      <w:r w:rsidRPr="00EB4C64">
        <w:rPr>
          <w:rFonts w:cs="Calibri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EB4C64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EB4C64" w:rsidRDefault="00EB4C64">
      <w:pPr>
        <w:rPr>
          <w:b/>
          <w:sz w:val="28"/>
          <w:szCs w:val="28"/>
        </w:rPr>
      </w:pPr>
    </w:p>
    <w:p w:rsidR="00EB4C64" w:rsidRDefault="00AC1816">
      <w:pPr>
        <w:jc w:val="center"/>
        <w:rPr>
          <w:b/>
          <w:color w:val="5B9BD5"/>
          <w:sz w:val="28"/>
          <w:szCs w:val="28"/>
        </w:rPr>
      </w:pPr>
      <w:r>
        <w:rPr>
          <w:b/>
          <w:color w:val="5B9BD5"/>
          <w:sz w:val="28"/>
          <w:szCs w:val="28"/>
        </w:rPr>
        <w:t xml:space="preserve">                                                                                                                </w:t>
      </w:r>
    </w:p>
    <w:p w:rsidR="00EB4C64" w:rsidRDefault="00EB4C64">
      <w:pPr>
        <w:rPr>
          <w:b/>
          <w:sz w:val="26"/>
          <w:szCs w:val="26"/>
        </w:rPr>
      </w:pPr>
    </w:p>
    <w:p w:rsidR="00EB4C64" w:rsidRDefault="00EB4C64">
      <w:pPr>
        <w:jc w:val="center"/>
        <w:rPr>
          <w:b/>
          <w:sz w:val="28"/>
          <w:szCs w:val="28"/>
        </w:rPr>
      </w:pPr>
    </w:p>
    <w:p w:rsidR="00EB4C64" w:rsidRDefault="00AC1816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Площадь земель населенных пунктов и земель промышленности Новосибирской области увеличилась</w:t>
      </w:r>
    </w:p>
    <w:p w:rsidR="00EB4C64" w:rsidRDefault="00EB4C64">
      <w:pPr>
        <w:spacing w:line="276" w:lineRule="auto"/>
        <w:ind w:firstLine="709"/>
        <w:jc w:val="both"/>
        <w:rPr>
          <w:sz w:val="28"/>
          <w:szCs w:val="28"/>
        </w:rPr>
      </w:pPr>
    </w:p>
    <w:p w:rsidR="00EB4C64" w:rsidRDefault="00AC1816">
      <w:pPr>
        <w:tabs>
          <w:tab w:val="left" w:pos="4678"/>
          <w:tab w:val="left" w:pos="5529"/>
        </w:tabs>
        <w:ind w:firstLine="709"/>
        <w:contextualSpacing/>
        <w:jc w:val="both"/>
        <w:rPr>
          <w:rFonts w:ascii="PT Astra Serif" w:eastAsia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Земли, находящиеся в пределах Новосибирской области, составляют ее земельный фонд.</w:t>
      </w:r>
    </w:p>
    <w:p w:rsidR="00EB4C64" w:rsidRDefault="00AC1816">
      <w:pPr>
        <w:tabs>
          <w:tab w:val="left" w:pos="4678"/>
          <w:tab w:val="left" w:pos="5529"/>
        </w:tabs>
        <w:ind w:firstLine="709"/>
        <w:contextualSpacing/>
        <w:jc w:val="both"/>
        <w:rPr>
          <w:rFonts w:ascii="PT Astra Serif" w:eastAsia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Площадь земель региона – 17775,6 тыс. га, все земли распределены по категориям. Основную часть занимают земли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сельхозназначения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 – 62,4% и земли лесного фонда – 26,1%.</w:t>
      </w:r>
    </w:p>
    <w:p w:rsidR="00EB4C64" w:rsidRDefault="00AC1816">
      <w:pPr>
        <w:tabs>
          <w:tab w:val="left" w:pos="4678"/>
          <w:tab w:val="left" w:pos="5529"/>
        </w:tabs>
        <w:ind w:firstLine="709"/>
        <w:contextualSpacing/>
        <w:jc w:val="both"/>
        <w:rPr>
          <w:rFonts w:ascii="PT Astra Serif" w:eastAsia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За 202</w:t>
      </w: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4 год площадь земель населенных пунктов, в том числе сельских населенных пунктов, увеличилась на 9,8 тыс. га за счет земель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сельхозназначения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, теперь она составляет 154,3 тыс. га. Наибольший рост отмечается в сельских населенных пунктах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Коченевского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 и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Тогу</w:t>
      </w: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чинского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 районов (на 4,4 и 4,0 тыс. га). Площадь городских населенных пунктов 128,1 тыс. га, наибольшую площадь занимает областной центр – город Новосибирск, его площадь 50032 га (39,2 % от площади городских населенных пунктов). </w:t>
      </w:r>
    </w:p>
    <w:p w:rsidR="00EB4C64" w:rsidRDefault="00AC1816">
      <w:pPr>
        <w:tabs>
          <w:tab w:val="left" w:pos="4678"/>
          <w:tab w:val="left" w:pos="5529"/>
        </w:tabs>
        <w:ind w:firstLine="709"/>
        <w:contextualSpacing/>
        <w:jc w:val="both"/>
        <w:rPr>
          <w:rFonts w:ascii="PT Astra Serif" w:eastAsia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Площадь земель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сельхозназн</w:t>
      </w: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ачения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 (11096,3 тыс. га) в течение 2024 года снизилась на 9,9 тыс. га в 14 районах области: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Искитимский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,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Колыванский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,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Коченевский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,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Краснозерский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,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Кыштовский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,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Маслянинский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,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Мошковский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, Новосибирский, Ордынский, Северный,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Сузунский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, 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Тогучинский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,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Усть-Таркск</w:t>
      </w: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ий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,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Черепановский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 районы. Это связано с переводом земель в другие категории – в земли населенных пунктов, в земли промышленности и иного специального назначения.</w:t>
      </w:r>
    </w:p>
    <w:p w:rsidR="00EB4C64" w:rsidRDefault="00AC1816">
      <w:pPr>
        <w:tabs>
          <w:tab w:val="left" w:pos="4678"/>
          <w:tab w:val="left" w:pos="5529"/>
        </w:tabs>
        <w:ind w:firstLine="709"/>
        <w:contextualSpacing/>
        <w:jc w:val="both"/>
        <w:rPr>
          <w:rFonts w:ascii="PT Astra Serif" w:eastAsia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Площадь земель промышленности и иного специального назначения (129,6 тыс. га) в течение года у</w:t>
      </w: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величилась на 0,6 тыс. га за счет  перевода земельных участков из земель сельскохозяйственного назначения, наибольший рост отмечается в Новосибирском (на 0,2 тыс. га) и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Черепановском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 (на 0,1 тыс. га) районах. </w:t>
      </w:r>
    </w:p>
    <w:p w:rsidR="00EB4C64" w:rsidRDefault="00AC1816">
      <w:pPr>
        <w:tabs>
          <w:tab w:val="left" w:pos="4678"/>
          <w:tab w:val="left" w:pos="5529"/>
        </w:tabs>
        <w:ind w:firstLine="709"/>
        <w:contextualSpacing/>
        <w:jc w:val="both"/>
        <w:rPr>
          <w:rFonts w:ascii="PT Astra Serif" w:eastAsia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Площадь земель лесного фонда за год не изменил</w:t>
      </w: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ась – 4629,7 тыс. га, лесные площади составляют 59,9% всей площади лесного фонда, болота – 36,5%, остальная часть – это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сельхозугодья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 (кормовые угодья, пашни), земли под дорогами и другие. Больше всего земель лесного фонда (67,2%) сосредоточено на севере о</w:t>
      </w: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бласти: в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Колыванском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,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Кыштовском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, Северном, Убинском районах.</w:t>
      </w:r>
    </w:p>
    <w:p w:rsidR="00EB4C64" w:rsidRDefault="00AC1816">
      <w:pPr>
        <w:tabs>
          <w:tab w:val="left" w:pos="4678"/>
          <w:tab w:val="left" w:pos="5529"/>
        </w:tabs>
        <w:ind w:firstLine="709"/>
        <w:contextualSpacing/>
        <w:jc w:val="both"/>
        <w:rPr>
          <w:rFonts w:ascii="PT Astra Serif" w:eastAsia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Треть всех земель в Новосибирской области принадлежит гражданам – 5469,2 тыс. га, за 2024 год рост на 0,8 тыс. га. Наибольшая доля земель в </w:t>
      </w: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lastRenderedPageBreak/>
        <w:t xml:space="preserve">распоряжении граждан отмечена в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Баганском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,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Доволенско</w:t>
      </w: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м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, Здвинском, Карасукском, Краснозерском,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Купинском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, Татарском районах области.</w:t>
      </w:r>
    </w:p>
    <w:p w:rsidR="00EB4C64" w:rsidRDefault="00AC1816">
      <w:pPr>
        <w:tabs>
          <w:tab w:val="left" w:pos="4678"/>
          <w:tab w:val="left" w:pos="5529"/>
        </w:tabs>
        <w:ind w:firstLine="709"/>
        <w:contextualSpacing/>
        <w:jc w:val="both"/>
        <w:rPr>
          <w:rFonts w:ascii="PT Astra Serif" w:eastAsia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За 2024 год увеличилась площадь земель в собственности юридических лиц на 7,1 тыс. га. Большая часть земель в собственности юридических лиц зафиксирована в городах Обь, Новосиб</w:t>
      </w: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ирск,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Искитим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, Бердск, Барабинском,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Искитимском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,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Мошковском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,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Сузунском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 и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Тогучинском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  районах области.</w:t>
      </w:r>
    </w:p>
    <w:p w:rsidR="00EB4C64" w:rsidRDefault="00AC1816">
      <w:pPr>
        <w:tabs>
          <w:tab w:val="left" w:pos="4678"/>
          <w:tab w:val="left" w:pos="5529"/>
        </w:tabs>
        <w:ind w:firstLine="709"/>
        <w:contextualSpacing/>
        <w:jc w:val="both"/>
        <w:rPr>
          <w:rFonts w:ascii="PT Astra Serif" w:eastAsia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Общая площадь земель, которыми распоряжается государство и муниципальные образования, за прошедший год уменьшилась на 7,9 тыс. га. Наибольшая часть таких</w:t>
      </w: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 земель расположена в Северном,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Колыванском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,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Кыштовском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, Убинском районах, городах Татарск, Барабинск и Куйбышев.</w:t>
      </w:r>
    </w:p>
    <w:p w:rsidR="00EB4C64" w:rsidRDefault="00EB4C64">
      <w:pPr>
        <w:tabs>
          <w:tab w:val="left" w:pos="4678"/>
          <w:tab w:val="left" w:pos="5529"/>
        </w:tabs>
        <w:ind w:firstLine="709"/>
        <w:contextualSpacing/>
        <w:jc w:val="both"/>
        <w:rPr>
          <w:rFonts w:ascii="PT Astra Serif" w:eastAsia="PT Astra Serif" w:hAnsi="PT Astra Serif" w:cs="PT Astra Serif"/>
          <w:sz w:val="28"/>
          <w:szCs w:val="28"/>
          <w:highlight w:val="white"/>
        </w:rPr>
      </w:pPr>
    </w:p>
    <w:p w:rsidR="00EB4C64" w:rsidRDefault="00AC1816">
      <w:pPr>
        <w:tabs>
          <w:tab w:val="left" w:pos="4678"/>
          <w:tab w:val="left" w:pos="5529"/>
        </w:tabs>
        <w:ind w:firstLine="709"/>
        <w:contextualSpacing/>
        <w:jc w:val="both"/>
        <w:rPr>
          <w:rFonts w:ascii="PT Astra Serif" w:eastAsia="PT Astra Serif" w:hAnsi="PT Astra Serif" w:cs="PT Astra Serif"/>
          <w:sz w:val="28"/>
          <w:szCs w:val="28"/>
          <w:highlight w:val="white"/>
        </w:rPr>
      </w:pP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Новосибирский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Росреестр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 ежегодно готовит доклад о состоянии и использовании земель Новосибирской области, с докладом за 2024 год можно </w:t>
      </w:r>
      <w:hyperlink r:id="rId8" w:tooltip="https://rosreestr.gov.ru/open-service/statistika-i-analitika/zemleustroystvo-i-monitoring-zemel/monitoring-zemel/" w:history="1">
        <w:r>
          <w:rPr>
            <w:rStyle w:val="ac"/>
            <w:rFonts w:ascii="PT Astra Serif" w:eastAsia="PT Astra Serif" w:hAnsi="PT Astra Serif" w:cs="PT Astra Serif"/>
            <w:sz w:val="28"/>
            <w:szCs w:val="28"/>
            <w:highlight w:val="white"/>
          </w:rPr>
          <w:t>ознакомиться</w:t>
        </w:r>
      </w:hyperlink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 в </w:t>
      </w: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региональном блоке официального сайта </w:t>
      </w:r>
      <w:proofErr w:type="spellStart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Росреестра</w:t>
      </w:r>
      <w:proofErr w:type="spellEnd"/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 в сети Интернет </w:t>
      </w:r>
      <w:hyperlink r:id="rId9" w:history="1">
        <w:r>
          <w:rPr>
            <w:rFonts w:ascii="PT Astra Serif" w:eastAsia="PT Astra Serif" w:hAnsi="PT Astra Serif" w:cs="PT Astra Serif"/>
            <w:sz w:val="28"/>
            <w:szCs w:val="28"/>
            <w:highlight w:val="white"/>
          </w:rPr>
          <w:t>https://rosreestr.gov.ru/</w:t>
        </w:r>
      </w:hyperlink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 в разделе «</w:t>
      </w:r>
      <w:hyperlink r:id="rId10" w:history="1">
        <w:r>
          <w:rPr>
            <w:rFonts w:ascii="PT Astra Serif" w:eastAsia="PT Astra Serif" w:hAnsi="PT Astra Serif" w:cs="PT Astra Serif"/>
            <w:sz w:val="28"/>
            <w:szCs w:val="28"/>
            <w:highlight w:val="white"/>
          </w:rPr>
          <w:t>Открытая служба</w:t>
        </w:r>
      </w:hyperlink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» / «</w:t>
      </w:r>
      <w:hyperlink r:id="rId11" w:history="1">
        <w:r>
          <w:rPr>
            <w:rFonts w:ascii="PT Astra Serif" w:eastAsia="PT Astra Serif" w:hAnsi="PT Astra Serif" w:cs="PT Astra Serif"/>
            <w:sz w:val="28"/>
            <w:szCs w:val="28"/>
            <w:highlight w:val="white"/>
          </w:rPr>
          <w:t>Статистика и аналитика</w:t>
        </w:r>
      </w:hyperlink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» / «</w:t>
      </w:r>
      <w:hyperlink r:id="rId12" w:history="1">
        <w:r>
          <w:rPr>
            <w:rFonts w:ascii="PT Astra Serif" w:eastAsia="PT Astra Serif" w:hAnsi="PT Astra Serif" w:cs="PT Astra Serif"/>
            <w:sz w:val="28"/>
            <w:szCs w:val="28"/>
            <w:highlight w:val="white"/>
          </w:rPr>
          <w:t>Землеустройство и мониторинг земель</w:t>
        </w:r>
      </w:hyperlink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>» / «Мониторинг</w:t>
      </w:r>
      <w:r>
        <w:rPr>
          <w:rFonts w:ascii="PT Astra Serif" w:eastAsia="PT Astra Serif" w:hAnsi="PT Astra Serif" w:cs="PT Astra Serif"/>
          <w:sz w:val="28"/>
          <w:szCs w:val="28"/>
          <w:highlight w:val="white"/>
        </w:rPr>
        <w:t xml:space="preserve"> земель».</w:t>
      </w:r>
    </w:p>
    <w:p w:rsidR="00EB4C64" w:rsidRDefault="00EB4C64">
      <w:pPr>
        <w:ind w:firstLine="720"/>
        <w:jc w:val="both"/>
        <w:rPr>
          <w:sz w:val="26"/>
          <w:szCs w:val="26"/>
        </w:rPr>
      </w:pPr>
    </w:p>
    <w:p w:rsidR="00EB4C64" w:rsidRDefault="00EB4C64">
      <w:pPr>
        <w:tabs>
          <w:tab w:val="left" w:pos="709"/>
        </w:tabs>
        <w:spacing w:line="283" w:lineRule="exact"/>
        <w:ind w:firstLine="680"/>
        <w:jc w:val="both"/>
        <w:rPr>
          <w:rFonts w:ascii="PT Astra Serif" w:eastAsia="PT Astra Serif" w:hAnsi="PT Astra Serif" w:cs="PT Astra Serif"/>
          <w:sz w:val="28"/>
          <w:szCs w:val="28"/>
        </w:rPr>
      </w:pPr>
    </w:p>
    <w:p w:rsidR="00EB4C64" w:rsidRDefault="00EB4C64">
      <w:pPr>
        <w:spacing w:line="360" w:lineRule="auto"/>
        <w:ind w:firstLine="709"/>
        <w:jc w:val="both"/>
        <w:rPr>
          <w:sz w:val="28"/>
          <w:szCs w:val="28"/>
        </w:rPr>
      </w:pPr>
    </w:p>
    <w:p w:rsidR="00EB4C64" w:rsidRDefault="00EB4C64">
      <w:pPr>
        <w:jc w:val="both"/>
        <w:rPr>
          <w:sz w:val="28"/>
          <w:szCs w:val="28"/>
        </w:rPr>
      </w:pPr>
    </w:p>
    <w:p w:rsidR="00EB4C64" w:rsidRDefault="00AC1816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</w:t>
      </w:r>
      <w:proofErr w:type="spellStart"/>
      <w:r>
        <w:rPr>
          <w:rFonts w:ascii="Segoe UI" w:eastAsia="Quattrocento Sans" w:hAnsi="Segoe UI" w:cs="Segoe UI"/>
          <w:b/>
          <w:i/>
          <w:color w:val="000000"/>
        </w:rPr>
        <w:t>Росреестра</w:t>
      </w:r>
      <w:proofErr w:type="spellEnd"/>
      <w:r>
        <w:rPr>
          <w:rFonts w:ascii="Segoe UI" w:eastAsia="Quattrocento Sans" w:hAnsi="Segoe UI" w:cs="Segoe UI"/>
          <w:b/>
          <w:i/>
          <w:color w:val="000000"/>
        </w:rPr>
        <w:t xml:space="preserve"> </w:t>
      </w:r>
    </w:p>
    <w:p w:rsidR="00EB4C64" w:rsidRDefault="00AC1816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EB4C64" w:rsidRDefault="00EB4C64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EB4C64" w:rsidRDefault="00EB4C64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EB4C64">
        <w:pict>
          <v:shape id="shape 1" o:spid="_x0000_s1026" type="#_x0000_m1028" style="position:absolute;left:0;text-align:left;margin-left:-3.3pt;margin-top:7.1pt;width:490.5pt;height:0;z-index:2;mso-wrap-distance-left:9pt;mso-wrap-distance-top:0;mso-wrap-distance-right:9pt;mso-wrap-distance-bottom:0;mso-position-horizontal:absolute;mso-position-horizontal-relative:text;mso-position-vertical:absolute;mso-position-vertical-relative:text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EB4C64" w:rsidRDefault="00AC1816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 xml:space="preserve">Об Управлении </w:t>
      </w:r>
      <w:proofErr w:type="spellStart"/>
      <w:r>
        <w:rPr>
          <w:rFonts w:ascii="Segoe UI" w:hAnsi="Segoe UI" w:cs="Segoe UI"/>
          <w:b/>
          <w:bCs/>
        </w:rPr>
        <w:t>Росреестра</w:t>
      </w:r>
      <w:proofErr w:type="spellEnd"/>
      <w:r>
        <w:rPr>
          <w:rFonts w:ascii="Segoe UI" w:hAnsi="Segoe UI" w:cs="Segoe UI"/>
          <w:b/>
          <w:bCs/>
        </w:rPr>
        <w:t xml:space="preserve"> по Новосибирской области</w:t>
      </w:r>
    </w:p>
    <w:p w:rsidR="00EB4C64" w:rsidRDefault="00AC1816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</w:t>
      </w:r>
      <w:r>
        <w:rPr>
          <w:rFonts w:ascii="Segoe UI" w:hAnsi="Segoe UI" w:cs="Segoe UI"/>
          <w:sz w:val="18"/>
          <w:szCs w:val="18"/>
        </w:rPr>
        <w:t xml:space="preserve"> (Управление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</w:t>
      </w:r>
      <w:r>
        <w:rPr>
          <w:rFonts w:ascii="Segoe UI" w:hAnsi="Segoe UI" w:cs="Segoe UI"/>
          <w:sz w:val="18"/>
          <w:szCs w:val="18"/>
        </w:rPr>
        <w:t>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</w:t>
      </w:r>
      <w:r>
        <w:rPr>
          <w:rFonts w:ascii="Segoe UI" w:hAnsi="Segoe UI" w:cs="Segoe UI"/>
          <w:sz w:val="18"/>
          <w:szCs w:val="18"/>
        </w:rPr>
        <w:t>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</w:t>
      </w:r>
      <w:r>
        <w:rPr>
          <w:rFonts w:ascii="Segoe UI" w:hAnsi="Segoe UI" w:cs="Segoe UI"/>
          <w:sz w:val="18"/>
          <w:szCs w:val="18"/>
        </w:rPr>
        <w:t xml:space="preserve">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</w:t>
      </w:r>
      <w:proofErr w:type="spellStart"/>
      <w:r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>
        <w:rPr>
          <w:rFonts w:ascii="Segoe UI" w:hAnsi="Segoe UI" w:cs="Segoe UI"/>
          <w:sz w:val="18"/>
          <w:szCs w:val="18"/>
        </w:rPr>
        <w:t xml:space="preserve"> организаций. Руководителем Управления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 яв</w:t>
      </w:r>
      <w:r>
        <w:rPr>
          <w:rFonts w:ascii="Segoe UI" w:hAnsi="Segoe UI" w:cs="Segoe UI"/>
          <w:sz w:val="18"/>
          <w:szCs w:val="18"/>
        </w:rPr>
        <w:t xml:space="preserve">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EB4C64" w:rsidRDefault="00EB4C64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EB4C64" w:rsidRDefault="00AC1816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EB4C64" w:rsidRDefault="00AC1816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>
        <w:rPr>
          <w:rFonts w:ascii="Segoe UI" w:hAnsi="Segoe UI" w:cs="Segoe UI"/>
          <w:sz w:val="18"/>
          <w:szCs w:val="18"/>
        </w:rPr>
        <w:t>Росреестра</w:t>
      </w:r>
      <w:proofErr w:type="spellEnd"/>
      <w:r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EB4C64" w:rsidRDefault="00AC1816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EB4C64" w:rsidRDefault="00AC1816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E0173A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EB4C64" w:rsidRDefault="00EB4C64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13" w:history="1">
        <w:r w:rsidR="00AC1816">
          <w:rPr>
            <w:rStyle w:val="ac"/>
            <w:rFonts w:ascii="Segoe UI" w:hAnsi="Segoe UI" w:cs="Segoe UI"/>
            <w:sz w:val="18"/>
            <w:szCs w:val="20"/>
            <w:lang w:val="en-US"/>
          </w:rPr>
          <w:t>oko</w:t>
        </w:r>
        <w:r w:rsidR="00AC1816" w:rsidRPr="00E0173A">
          <w:rPr>
            <w:rStyle w:val="ac"/>
            <w:rFonts w:ascii="Segoe UI" w:hAnsi="Segoe UI" w:cs="Segoe UI"/>
            <w:sz w:val="18"/>
            <w:szCs w:val="20"/>
          </w:rPr>
          <w:t>@</w:t>
        </w:r>
        <w:r w:rsidR="00AC1816">
          <w:rPr>
            <w:rStyle w:val="ac"/>
            <w:rFonts w:ascii="Segoe UI" w:hAnsi="Segoe UI" w:cs="Segoe UI"/>
            <w:sz w:val="18"/>
            <w:szCs w:val="20"/>
            <w:lang w:val="en-US"/>
          </w:rPr>
          <w:t>r</w:t>
        </w:r>
        <w:r w:rsidR="00AC1816">
          <w:rPr>
            <w:rStyle w:val="ac"/>
            <w:rFonts w:ascii="Segoe UI" w:hAnsi="Segoe UI" w:cs="Segoe UI"/>
            <w:sz w:val="18"/>
            <w:szCs w:val="20"/>
          </w:rPr>
          <w:t>54</w:t>
        </w:r>
        <w:r w:rsidR="00AC1816" w:rsidRPr="00E0173A">
          <w:rPr>
            <w:rStyle w:val="ac"/>
            <w:rFonts w:ascii="Segoe UI" w:hAnsi="Segoe UI" w:cs="Segoe UI"/>
            <w:sz w:val="18"/>
            <w:szCs w:val="20"/>
          </w:rPr>
          <w:t>.</w:t>
        </w:r>
        <w:r w:rsidR="00AC1816">
          <w:rPr>
            <w:rStyle w:val="ac"/>
            <w:rFonts w:ascii="Segoe UI" w:hAnsi="Segoe UI" w:cs="Segoe UI"/>
            <w:sz w:val="18"/>
            <w:szCs w:val="20"/>
            <w:lang w:val="en-US"/>
          </w:rPr>
          <w:t>rosreestr</w:t>
        </w:r>
        <w:r w:rsidR="00AC1816" w:rsidRPr="00E0173A">
          <w:rPr>
            <w:rStyle w:val="ac"/>
            <w:rFonts w:ascii="Segoe UI" w:hAnsi="Segoe UI" w:cs="Segoe UI"/>
            <w:sz w:val="18"/>
            <w:szCs w:val="20"/>
          </w:rPr>
          <w:t>.</w:t>
        </w:r>
        <w:proofErr w:type="spellStart"/>
        <w:r w:rsidR="00AC1816">
          <w:rPr>
            <w:rStyle w:val="ac"/>
            <w:rFonts w:ascii="Segoe UI" w:hAnsi="Segoe UI" w:cs="Segoe UI"/>
            <w:sz w:val="18"/>
            <w:szCs w:val="20"/>
            <w:lang w:val="en-US"/>
          </w:rPr>
          <w:t>ru</w:t>
        </w:r>
        <w:proofErr w:type="spellEnd"/>
      </w:hyperlink>
      <w:r w:rsidR="00AC1816" w:rsidRPr="00E0173A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EB4C64" w:rsidRPr="00E0173A" w:rsidRDefault="00AC1816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E0173A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14" w:history="1">
        <w:proofErr w:type="spellStart"/>
        <w:r w:rsidRPr="00E0173A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  <w:proofErr w:type="spellEnd"/>
      </w:hyperlink>
    </w:p>
    <w:p w:rsidR="00EB4C64" w:rsidRDefault="00AC1816">
      <w:pPr>
        <w:jc w:val="both"/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5" w:history="1">
        <w:proofErr w:type="spellStart"/>
        <w:r w:rsidRPr="00E0173A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  <w:proofErr w:type="spellEnd"/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6" w:history="1">
        <w:r>
          <w:rPr>
            <w:rStyle w:val="ac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ac"/>
          <w:rFonts w:ascii="Segoe UI" w:hAnsi="Segoe UI" w:cs="Segoe UI"/>
          <w:sz w:val="18"/>
          <w:szCs w:val="18"/>
        </w:rPr>
        <w:t xml:space="preserve">, </w:t>
      </w:r>
      <w:hyperlink r:id="rId17" w:history="1">
        <w:proofErr w:type="spellStart"/>
        <w:r w:rsidRPr="00E0173A">
          <w:rPr>
            <w:rStyle w:val="ac"/>
            <w:rFonts w:ascii="Segoe UI" w:hAnsi="Segoe UI" w:cs="Segoe UI"/>
            <w:sz w:val="20"/>
            <w:szCs w:val="20"/>
          </w:rPr>
          <w:t>Яндекс</w:t>
        </w:r>
        <w:proofErr w:type="gramStart"/>
        <w:r>
          <w:rPr>
            <w:rStyle w:val="ac"/>
            <w:rFonts w:ascii="Segoe UI" w:hAnsi="Segoe UI" w:cs="Segoe UI"/>
            <w:sz w:val="20"/>
            <w:szCs w:val="20"/>
          </w:rPr>
          <w:t>.</w:t>
        </w:r>
        <w:r w:rsidRPr="00E0173A">
          <w:rPr>
            <w:rStyle w:val="ac"/>
            <w:rFonts w:ascii="Segoe UI" w:hAnsi="Segoe UI" w:cs="Segoe UI"/>
            <w:sz w:val="20"/>
            <w:szCs w:val="20"/>
          </w:rPr>
          <w:t>Д</w:t>
        </w:r>
        <w:proofErr w:type="gramEnd"/>
        <w:r w:rsidRPr="00E0173A">
          <w:rPr>
            <w:rStyle w:val="ac"/>
            <w:rFonts w:ascii="Segoe UI" w:hAnsi="Segoe UI" w:cs="Segoe UI"/>
            <w:sz w:val="20"/>
            <w:szCs w:val="20"/>
          </w:rPr>
          <w:t>зен</w:t>
        </w:r>
        <w:proofErr w:type="spellEnd"/>
      </w:hyperlink>
      <w:r>
        <w:rPr>
          <w:rStyle w:val="ac"/>
          <w:rFonts w:ascii="Segoe UI" w:hAnsi="Segoe UI" w:cs="Segoe UI"/>
          <w:sz w:val="20"/>
          <w:szCs w:val="20"/>
        </w:rPr>
        <w:t xml:space="preserve">, </w:t>
      </w:r>
      <w:hyperlink r:id="rId18" w:history="1">
        <w:proofErr w:type="spellStart"/>
        <w:r>
          <w:rPr>
            <w:rStyle w:val="ac"/>
            <w:rFonts w:ascii="Segoe UI" w:hAnsi="Segoe UI" w:cs="Segoe UI"/>
            <w:sz w:val="20"/>
          </w:rPr>
          <w:t>Телеграм</w:t>
        </w:r>
        <w:proofErr w:type="spellEnd"/>
      </w:hyperlink>
    </w:p>
    <w:p w:rsidR="00EB4C64" w:rsidRDefault="00EB4C64">
      <w:pPr>
        <w:jc w:val="both"/>
      </w:pPr>
    </w:p>
    <w:p w:rsidR="00EB4C64" w:rsidRDefault="00EB4C64">
      <w:pPr>
        <w:jc w:val="both"/>
      </w:pPr>
    </w:p>
    <w:p w:rsidR="00EB4C64" w:rsidRDefault="00EB4C64">
      <w:pPr>
        <w:jc w:val="both"/>
      </w:pPr>
    </w:p>
    <w:p w:rsidR="00EB4C64" w:rsidRDefault="00EB4C64">
      <w:pPr>
        <w:jc w:val="both"/>
      </w:pPr>
    </w:p>
    <w:p w:rsidR="00EB4C64" w:rsidRDefault="00EB4C64">
      <w:pPr>
        <w:jc w:val="both"/>
      </w:pPr>
    </w:p>
    <w:p w:rsidR="00EB4C64" w:rsidRDefault="00EB4C64">
      <w:pPr>
        <w:jc w:val="both"/>
      </w:pPr>
    </w:p>
    <w:p w:rsidR="00EB4C64" w:rsidRDefault="00EB4C64">
      <w:pPr>
        <w:jc w:val="both"/>
      </w:pPr>
    </w:p>
    <w:p w:rsidR="00EB4C64" w:rsidRDefault="00EB4C64">
      <w:pPr>
        <w:jc w:val="both"/>
      </w:pPr>
    </w:p>
    <w:p w:rsidR="00EB4C64" w:rsidRDefault="00EB4C64">
      <w:pPr>
        <w:jc w:val="both"/>
        <w:rPr>
          <w:sz w:val="28"/>
          <w:szCs w:val="28"/>
        </w:rPr>
      </w:pPr>
    </w:p>
    <w:p w:rsidR="00EB4C64" w:rsidRDefault="00EB4C64">
      <w:pPr>
        <w:jc w:val="both"/>
        <w:rPr>
          <w:sz w:val="28"/>
          <w:szCs w:val="28"/>
        </w:rPr>
      </w:pPr>
    </w:p>
    <w:sectPr w:rsidR="00EB4C64" w:rsidSect="00EB4C64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816" w:rsidRDefault="00AC1816">
      <w:r>
        <w:separator/>
      </w:r>
    </w:p>
  </w:endnote>
  <w:endnote w:type="continuationSeparator" w:id="0">
    <w:p w:rsidR="00AC1816" w:rsidRDefault="00AC18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816" w:rsidRDefault="00AC1816">
      <w:r>
        <w:separator/>
      </w:r>
    </w:p>
  </w:footnote>
  <w:footnote w:type="continuationSeparator" w:id="0">
    <w:p w:rsidR="00AC1816" w:rsidRDefault="00AC18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1614C"/>
    <w:multiLevelType w:val="hybridMultilevel"/>
    <w:tmpl w:val="E4C60918"/>
    <w:lvl w:ilvl="0" w:tplc="213E9306">
      <w:start w:val="1"/>
      <w:numFmt w:val="decimal"/>
      <w:lvlText w:val="%1)"/>
      <w:lvlJc w:val="left"/>
      <w:pPr>
        <w:ind w:left="907" w:hanging="360"/>
      </w:pPr>
    </w:lvl>
    <w:lvl w:ilvl="1" w:tplc="D95058D0">
      <w:start w:val="1"/>
      <w:numFmt w:val="lowerLetter"/>
      <w:lvlText w:val="%2."/>
      <w:lvlJc w:val="left"/>
      <w:pPr>
        <w:ind w:left="1627" w:hanging="360"/>
      </w:pPr>
    </w:lvl>
    <w:lvl w:ilvl="2" w:tplc="B0FADC2E">
      <w:start w:val="1"/>
      <w:numFmt w:val="lowerRoman"/>
      <w:lvlText w:val="%3."/>
      <w:lvlJc w:val="right"/>
      <w:pPr>
        <w:ind w:left="2347" w:hanging="180"/>
      </w:pPr>
    </w:lvl>
    <w:lvl w:ilvl="3" w:tplc="50EE253A">
      <w:start w:val="1"/>
      <w:numFmt w:val="decimal"/>
      <w:lvlText w:val="%4."/>
      <w:lvlJc w:val="left"/>
      <w:pPr>
        <w:ind w:left="3067" w:hanging="360"/>
      </w:pPr>
    </w:lvl>
    <w:lvl w:ilvl="4" w:tplc="64825D9E">
      <w:start w:val="1"/>
      <w:numFmt w:val="lowerLetter"/>
      <w:lvlText w:val="%5."/>
      <w:lvlJc w:val="left"/>
      <w:pPr>
        <w:ind w:left="3787" w:hanging="360"/>
      </w:pPr>
    </w:lvl>
    <w:lvl w:ilvl="5" w:tplc="DEC015A4">
      <w:start w:val="1"/>
      <w:numFmt w:val="lowerRoman"/>
      <w:lvlText w:val="%6."/>
      <w:lvlJc w:val="right"/>
      <w:pPr>
        <w:ind w:left="4507" w:hanging="180"/>
      </w:pPr>
    </w:lvl>
    <w:lvl w:ilvl="6" w:tplc="936E6376">
      <w:start w:val="1"/>
      <w:numFmt w:val="decimal"/>
      <w:lvlText w:val="%7."/>
      <w:lvlJc w:val="left"/>
      <w:pPr>
        <w:ind w:left="5227" w:hanging="360"/>
      </w:pPr>
    </w:lvl>
    <w:lvl w:ilvl="7" w:tplc="20D4D75C">
      <w:start w:val="1"/>
      <w:numFmt w:val="lowerLetter"/>
      <w:lvlText w:val="%8."/>
      <w:lvlJc w:val="left"/>
      <w:pPr>
        <w:ind w:left="5947" w:hanging="360"/>
      </w:pPr>
    </w:lvl>
    <w:lvl w:ilvl="8" w:tplc="A7481850">
      <w:start w:val="1"/>
      <w:numFmt w:val="lowerRoman"/>
      <w:lvlText w:val="%9."/>
      <w:lvlJc w:val="right"/>
      <w:pPr>
        <w:ind w:left="6667" w:hanging="180"/>
      </w:pPr>
    </w:lvl>
  </w:abstractNum>
  <w:abstractNum w:abstractNumId="1">
    <w:nsid w:val="16671BC4"/>
    <w:multiLevelType w:val="hybridMultilevel"/>
    <w:tmpl w:val="B338EB18"/>
    <w:lvl w:ilvl="0" w:tplc="9484EFAE">
      <w:start w:val="1"/>
      <w:numFmt w:val="decimal"/>
      <w:lvlText w:val="%1)"/>
      <w:lvlJc w:val="left"/>
      <w:pPr>
        <w:ind w:left="720" w:hanging="360"/>
      </w:pPr>
    </w:lvl>
    <w:lvl w:ilvl="1" w:tplc="7C703BB8">
      <w:start w:val="1"/>
      <w:numFmt w:val="lowerLetter"/>
      <w:lvlText w:val="%2."/>
      <w:lvlJc w:val="left"/>
      <w:pPr>
        <w:ind w:left="1440" w:hanging="360"/>
      </w:pPr>
    </w:lvl>
    <w:lvl w:ilvl="2" w:tplc="5DA2AE00">
      <w:start w:val="1"/>
      <w:numFmt w:val="lowerRoman"/>
      <w:lvlText w:val="%3."/>
      <w:lvlJc w:val="right"/>
      <w:pPr>
        <w:ind w:left="2160" w:hanging="180"/>
      </w:pPr>
    </w:lvl>
    <w:lvl w:ilvl="3" w:tplc="C7D6DF10">
      <w:start w:val="1"/>
      <w:numFmt w:val="decimal"/>
      <w:lvlText w:val="%4."/>
      <w:lvlJc w:val="left"/>
      <w:pPr>
        <w:ind w:left="2880" w:hanging="360"/>
      </w:pPr>
    </w:lvl>
    <w:lvl w:ilvl="4" w:tplc="F612D3F0">
      <w:start w:val="1"/>
      <w:numFmt w:val="lowerLetter"/>
      <w:lvlText w:val="%5."/>
      <w:lvlJc w:val="left"/>
      <w:pPr>
        <w:ind w:left="3600" w:hanging="360"/>
      </w:pPr>
    </w:lvl>
    <w:lvl w:ilvl="5" w:tplc="15F81702">
      <w:start w:val="1"/>
      <w:numFmt w:val="lowerRoman"/>
      <w:lvlText w:val="%6."/>
      <w:lvlJc w:val="right"/>
      <w:pPr>
        <w:ind w:left="4320" w:hanging="180"/>
      </w:pPr>
    </w:lvl>
    <w:lvl w:ilvl="6" w:tplc="11F64714">
      <w:start w:val="1"/>
      <w:numFmt w:val="decimal"/>
      <w:lvlText w:val="%7."/>
      <w:lvlJc w:val="left"/>
      <w:pPr>
        <w:ind w:left="5040" w:hanging="360"/>
      </w:pPr>
    </w:lvl>
    <w:lvl w:ilvl="7" w:tplc="3208C710">
      <w:start w:val="1"/>
      <w:numFmt w:val="lowerLetter"/>
      <w:lvlText w:val="%8."/>
      <w:lvlJc w:val="left"/>
      <w:pPr>
        <w:ind w:left="5760" w:hanging="360"/>
      </w:pPr>
    </w:lvl>
    <w:lvl w:ilvl="8" w:tplc="237CD41C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4E0880"/>
    <w:multiLevelType w:val="hybridMultilevel"/>
    <w:tmpl w:val="AC360EFC"/>
    <w:lvl w:ilvl="0" w:tplc="449EDA60">
      <w:start w:val="1"/>
      <w:numFmt w:val="decimal"/>
      <w:lvlText w:val="%1."/>
      <w:lvlJc w:val="left"/>
      <w:pPr>
        <w:ind w:left="6740" w:hanging="360"/>
      </w:pPr>
    </w:lvl>
    <w:lvl w:ilvl="1" w:tplc="20248BE4">
      <w:start w:val="1"/>
      <w:numFmt w:val="lowerLetter"/>
      <w:lvlText w:val="%2."/>
      <w:lvlJc w:val="left"/>
      <w:pPr>
        <w:ind w:left="1440" w:hanging="360"/>
      </w:pPr>
    </w:lvl>
    <w:lvl w:ilvl="2" w:tplc="175C8930">
      <w:start w:val="1"/>
      <w:numFmt w:val="lowerRoman"/>
      <w:lvlText w:val="%3."/>
      <w:lvlJc w:val="right"/>
      <w:pPr>
        <w:ind w:left="2160" w:hanging="180"/>
      </w:pPr>
    </w:lvl>
    <w:lvl w:ilvl="3" w:tplc="662C37DC">
      <w:start w:val="1"/>
      <w:numFmt w:val="decimal"/>
      <w:lvlText w:val="%4."/>
      <w:lvlJc w:val="left"/>
      <w:pPr>
        <w:ind w:left="2880" w:hanging="360"/>
      </w:pPr>
    </w:lvl>
    <w:lvl w:ilvl="4" w:tplc="6302C9B8">
      <w:start w:val="1"/>
      <w:numFmt w:val="lowerLetter"/>
      <w:lvlText w:val="%5."/>
      <w:lvlJc w:val="left"/>
      <w:pPr>
        <w:ind w:left="3600" w:hanging="360"/>
      </w:pPr>
    </w:lvl>
    <w:lvl w:ilvl="5" w:tplc="22987858">
      <w:start w:val="1"/>
      <w:numFmt w:val="lowerRoman"/>
      <w:lvlText w:val="%6."/>
      <w:lvlJc w:val="right"/>
      <w:pPr>
        <w:ind w:left="4320" w:hanging="180"/>
      </w:pPr>
    </w:lvl>
    <w:lvl w:ilvl="6" w:tplc="515C8F94">
      <w:start w:val="1"/>
      <w:numFmt w:val="decimal"/>
      <w:lvlText w:val="%7."/>
      <w:lvlJc w:val="left"/>
      <w:pPr>
        <w:ind w:left="5040" w:hanging="360"/>
      </w:pPr>
    </w:lvl>
    <w:lvl w:ilvl="7" w:tplc="AC42018C">
      <w:start w:val="1"/>
      <w:numFmt w:val="lowerLetter"/>
      <w:lvlText w:val="%8."/>
      <w:lvlJc w:val="left"/>
      <w:pPr>
        <w:ind w:left="5760" w:hanging="360"/>
      </w:pPr>
    </w:lvl>
    <w:lvl w:ilvl="8" w:tplc="D62E349C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BD0201"/>
    <w:multiLevelType w:val="hybridMultilevel"/>
    <w:tmpl w:val="318635F0"/>
    <w:lvl w:ilvl="0" w:tplc="C7047014">
      <w:start w:val="1"/>
      <w:numFmt w:val="decimal"/>
      <w:lvlText w:val="%1)"/>
      <w:lvlJc w:val="left"/>
      <w:pPr>
        <w:ind w:left="907" w:hanging="360"/>
      </w:pPr>
    </w:lvl>
    <w:lvl w:ilvl="1" w:tplc="105626C0">
      <w:start w:val="1"/>
      <w:numFmt w:val="lowerLetter"/>
      <w:lvlText w:val="%2."/>
      <w:lvlJc w:val="left"/>
      <w:pPr>
        <w:ind w:left="1627" w:hanging="360"/>
      </w:pPr>
    </w:lvl>
    <w:lvl w:ilvl="2" w:tplc="171E5714">
      <w:start w:val="1"/>
      <w:numFmt w:val="lowerRoman"/>
      <w:lvlText w:val="%3."/>
      <w:lvlJc w:val="right"/>
      <w:pPr>
        <w:ind w:left="2347" w:hanging="180"/>
      </w:pPr>
    </w:lvl>
    <w:lvl w:ilvl="3" w:tplc="F098BFA6">
      <w:start w:val="1"/>
      <w:numFmt w:val="decimal"/>
      <w:lvlText w:val="%4."/>
      <w:lvlJc w:val="left"/>
      <w:pPr>
        <w:ind w:left="3067" w:hanging="360"/>
      </w:pPr>
    </w:lvl>
    <w:lvl w:ilvl="4" w:tplc="B9E05456">
      <w:start w:val="1"/>
      <w:numFmt w:val="lowerLetter"/>
      <w:lvlText w:val="%5."/>
      <w:lvlJc w:val="left"/>
      <w:pPr>
        <w:ind w:left="3787" w:hanging="360"/>
      </w:pPr>
    </w:lvl>
    <w:lvl w:ilvl="5" w:tplc="D4CE87EE">
      <w:start w:val="1"/>
      <w:numFmt w:val="lowerRoman"/>
      <w:lvlText w:val="%6."/>
      <w:lvlJc w:val="right"/>
      <w:pPr>
        <w:ind w:left="4507" w:hanging="180"/>
      </w:pPr>
    </w:lvl>
    <w:lvl w:ilvl="6" w:tplc="3A36ACAC">
      <w:start w:val="1"/>
      <w:numFmt w:val="decimal"/>
      <w:lvlText w:val="%7."/>
      <w:lvlJc w:val="left"/>
      <w:pPr>
        <w:ind w:left="5227" w:hanging="360"/>
      </w:pPr>
    </w:lvl>
    <w:lvl w:ilvl="7" w:tplc="B4F243C0">
      <w:start w:val="1"/>
      <w:numFmt w:val="lowerLetter"/>
      <w:lvlText w:val="%8."/>
      <w:lvlJc w:val="left"/>
      <w:pPr>
        <w:ind w:left="5947" w:hanging="360"/>
      </w:pPr>
    </w:lvl>
    <w:lvl w:ilvl="8" w:tplc="7BDAC280">
      <w:start w:val="1"/>
      <w:numFmt w:val="lowerRoman"/>
      <w:lvlText w:val="%9."/>
      <w:lvlJc w:val="right"/>
      <w:pPr>
        <w:ind w:left="6667" w:hanging="180"/>
      </w:pPr>
    </w:lvl>
  </w:abstractNum>
  <w:abstractNum w:abstractNumId="4">
    <w:nsid w:val="66824EF9"/>
    <w:multiLevelType w:val="hybridMultilevel"/>
    <w:tmpl w:val="DA685594"/>
    <w:lvl w:ilvl="0" w:tplc="640CA2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02C466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91EB42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6484B9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458D8A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A9C41F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608339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6AA7CA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52A17B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67532562"/>
    <w:multiLevelType w:val="hybridMultilevel"/>
    <w:tmpl w:val="CBCAC1F2"/>
    <w:lvl w:ilvl="0" w:tplc="029693A6">
      <w:start w:val="1"/>
      <w:numFmt w:val="decimal"/>
      <w:lvlText w:val="%1."/>
      <w:lvlJc w:val="left"/>
      <w:pPr>
        <w:ind w:left="720" w:hanging="360"/>
      </w:pPr>
    </w:lvl>
    <w:lvl w:ilvl="1" w:tplc="C708FEE4">
      <w:start w:val="1"/>
      <w:numFmt w:val="lowerLetter"/>
      <w:lvlText w:val="%2."/>
      <w:lvlJc w:val="left"/>
      <w:pPr>
        <w:ind w:left="1440" w:hanging="360"/>
      </w:pPr>
    </w:lvl>
    <w:lvl w:ilvl="2" w:tplc="15A6C74A">
      <w:start w:val="1"/>
      <w:numFmt w:val="lowerRoman"/>
      <w:lvlText w:val="%3."/>
      <w:lvlJc w:val="right"/>
      <w:pPr>
        <w:ind w:left="2160" w:hanging="180"/>
      </w:pPr>
    </w:lvl>
    <w:lvl w:ilvl="3" w:tplc="D742BAA2">
      <w:start w:val="1"/>
      <w:numFmt w:val="decimal"/>
      <w:lvlText w:val="%4."/>
      <w:lvlJc w:val="left"/>
      <w:pPr>
        <w:ind w:left="2880" w:hanging="360"/>
      </w:pPr>
    </w:lvl>
    <w:lvl w:ilvl="4" w:tplc="53CC0FC8">
      <w:start w:val="1"/>
      <w:numFmt w:val="lowerLetter"/>
      <w:lvlText w:val="%5."/>
      <w:lvlJc w:val="left"/>
      <w:pPr>
        <w:ind w:left="3600" w:hanging="360"/>
      </w:pPr>
    </w:lvl>
    <w:lvl w:ilvl="5" w:tplc="ADFC224E">
      <w:start w:val="1"/>
      <w:numFmt w:val="lowerRoman"/>
      <w:lvlText w:val="%6."/>
      <w:lvlJc w:val="right"/>
      <w:pPr>
        <w:ind w:left="4320" w:hanging="180"/>
      </w:pPr>
    </w:lvl>
    <w:lvl w:ilvl="6" w:tplc="4B0A54B6">
      <w:start w:val="1"/>
      <w:numFmt w:val="decimal"/>
      <w:lvlText w:val="%7."/>
      <w:lvlJc w:val="left"/>
      <w:pPr>
        <w:ind w:left="5040" w:hanging="360"/>
      </w:pPr>
    </w:lvl>
    <w:lvl w:ilvl="7" w:tplc="28BC21F0">
      <w:start w:val="1"/>
      <w:numFmt w:val="lowerLetter"/>
      <w:lvlText w:val="%8."/>
      <w:lvlJc w:val="left"/>
      <w:pPr>
        <w:ind w:left="5760" w:hanging="360"/>
      </w:pPr>
    </w:lvl>
    <w:lvl w:ilvl="8" w:tplc="4546ED3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F761C3"/>
    <w:multiLevelType w:val="hybridMultilevel"/>
    <w:tmpl w:val="87B4883E"/>
    <w:lvl w:ilvl="0" w:tplc="378EBA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29760A1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E588340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83D288F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FBC45A9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D0B6596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B242088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ABF683A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5D8897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7">
    <w:nsid w:val="7B6B1D03"/>
    <w:multiLevelType w:val="hybridMultilevel"/>
    <w:tmpl w:val="7C544458"/>
    <w:lvl w:ilvl="0" w:tplc="40240B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4FA2BEE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 w:tplc="9006981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FFAA3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8F26F2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7232858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5BAA1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BB8DBD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A9ACDC0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4C64"/>
    <w:rsid w:val="00AC1816"/>
    <w:rsid w:val="00E0173A"/>
    <w:rsid w:val="00EB4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C64"/>
    <w:rPr>
      <w:sz w:val="24"/>
      <w:szCs w:val="24"/>
    </w:rPr>
  </w:style>
  <w:style w:type="paragraph" w:styleId="3">
    <w:name w:val="heading 3"/>
    <w:basedOn w:val="a"/>
    <w:qFormat/>
    <w:rsid w:val="00EB4C6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EB4C64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  <w:lang/>
    </w:rPr>
  </w:style>
  <w:style w:type="character" w:customStyle="1" w:styleId="Heading1Char">
    <w:name w:val="Heading 1 Char"/>
    <w:link w:val="Heading1"/>
    <w:uiPriority w:val="9"/>
    <w:rsid w:val="00EB4C64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EB4C64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  <w:lang/>
    </w:rPr>
  </w:style>
  <w:style w:type="character" w:customStyle="1" w:styleId="Heading2Char">
    <w:name w:val="Heading 2 Char"/>
    <w:link w:val="Heading2"/>
    <w:uiPriority w:val="9"/>
    <w:rsid w:val="00EB4C64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EB4C64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  <w:lang/>
    </w:rPr>
  </w:style>
  <w:style w:type="character" w:customStyle="1" w:styleId="Heading3Char">
    <w:name w:val="Heading 3 Char"/>
    <w:link w:val="Heading3"/>
    <w:uiPriority w:val="9"/>
    <w:rsid w:val="00EB4C64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EB4C64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  <w:lang/>
    </w:rPr>
  </w:style>
  <w:style w:type="character" w:customStyle="1" w:styleId="Heading4Char">
    <w:name w:val="Heading 4 Char"/>
    <w:link w:val="Heading4"/>
    <w:uiPriority w:val="9"/>
    <w:rsid w:val="00EB4C64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EB4C64"/>
    <w:pPr>
      <w:keepNext/>
      <w:keepLines/>
      <w:spacing w:before="320" w:after="200"/>
      <w:outlineLvl w:val="4"/>
    </w:pPr>
    <w:rPr>
      <w:rFonts w:ascii="Arial" w:eastAsia="Arial" w:hAnsi="Arial"/>
      <w:b/>
      <w:bCs/>
      <w:lang/>
    </w:rPr>
  </w:style>
  <w:style w:type="character" w:customStyle="1" w:styleId="Heading5Char">
    <w:name w:val="Heading 5 Char"/>
    <w:link w:val="Heading5"/>
    <w:uiPriority w:val="9"/>
    <w:rsid w:val="00EB4C64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EB4C64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  <w:lang/>
    </w:rPr>
  </w:style>
  <w:style w:type="character" w:customStyle="1" w:styleId="Heading6Char">
    <w:name w:val="Heading 6 Char"/>
    <w:link w:val="Heading6"/>
    <w:uiPriority w:val="9"/>
    <w:rsid w:val="00EB4C64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EB4C64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  <w:lang/>
    </w:rPr>
  </w:style>
  <w:style w:type="character" w:customStyle="1" w:styleId="Heading7Char">
    <w:name w:val="Heading 7 Char"/>
    <w:link w:val="Heading7"/>
    <w:uiPriority w:val="9"/>
    <w:rsid w:val="00EB4C64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EB4C64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  <w:lang/>
    </w:rPr>
  </w:style>
  <w:style w:type="character" w:customStyle="1" w:styleId="Heading8Char">
    <w:name w:val="Heading 8 Char"/>
    <w:link w:val="Heading8"/>
    <w:uiPriority w:val="9"/>
    <w:rsid w:val="00EB4C64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EB4C64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  <w:lang/>
    </w:rPr>
  </w:style>
  <w:style w:type="character" w:customStyle="1" w:styleId="Heading9Char">
    <w:name w:val="Heading 9 Char"/>
    <w:link w:val="Heading9"/>
    <w:uiPriority w:val="9"/>
    <w:rsid w:val="00EB4C64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EB4C6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 Spacing"/>
    <w:uiPriority w:val="1"/>
    <w:qFormat/>
    <w:rsid w:val="00EB4C64"/>
    <w:rPr>
      <w:lang w:eastAsia="zh-CN"/>
    </w:rPr>
  </w:style>
  <w:style w:type="paragraph" w:styleId="a5">
    <w:name w:val="Title"/>
    <w:basedOn w:val="a"/>
    <w:link w:val="a6"/>
    <w:uiPriority w:val="10"/>
    <w:qFormat/>
    <w:rsid w:val="00EB4C64"/>
    <w:pPr>
      <w:ind w:firstLine="709"/>
      <w:jc w:val="center"/>
    </w:pPr>
    <w:rPr>
      <w:sz w:val="48"/>
      <w:szCs w:val="48"/>
      <w:lang/>
    </w:rPr>
  </w:style>
  <w:style w:type="character" w:customStyle="1" w:styleId="TitleChar">
    <w:name w:val="Title Char"/>
    <w:uiPriority w:val="10"/>
    <w:rsid w:val="00EB4C64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EB4C64"/>
    <w:pPr>
      <w:spacing w:before="200" w:after="200"/>
    </w:pPr>
    <w:rPr>
      <w:lang/>
    </w:rPr>
  </w:style>
  <w:style w:type="character" w:customStyle="1" w:styleId="a8">
    <w:name w:val="Подзаголовок Знак"/>
    <w:link w:val="a7"/>
    <w:uiPriority w:val="11"/>
    <w:rsid w:val="00EB4C64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EB4C64"/>
    <w:pPr>
      <w:ind w:left="720" w:right="720"/>
    </w:pPr>
    <w:rPr>
      <w:i/>
      <w:sz w:val="20"/>
      <w:szCs w:val="20"/>
      <w:lang/>
    </w:rPr>
  </w:style>
  <w:style w:type="character" w:customStyle="1" w:styleId="20">
    <w:name w:val="Цитата 2 Знак"/>
    <w:link w:val="2"/>
    <w:uiPriority w:val="29"/>
    <w:rsid w:val="00EB4C64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EB4C6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  <w:lang/>
    </w:rPr>
  </w:style>
  <w:style w:type="character" w:customStyle="1" w:styleId="aa">
    <w:name w:val="Выделенная цитата Знак"/>
    <w:link w:val="a9"/>
    <w:uiPriority w:val="30"/>
    <w:rsid w:val="00EB4C64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EB4C64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EB4C64"/>
  </w:style>
  <w:style w:type="paragraph" w:customStyle="1" w:styleId="Footer">
    <w:name w:val="Footer"/>
    <w:basedOn w:val="a"/>
    <w:link w:val="CaptionChar"/>
    <w:uiPriority w:val="99"/>
    <w:unhideWhenUsed/>
    <w:rsid w:val="00EB4C64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EB4C64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EB4C64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link w:val="Footer"/>
    <w:uiPriority w:val="99"/>
    <w:rsid w:val="00EB4C64"/>
  </w:style>
  <w:style w:type="table" w:styleId="ab">
    <w:name w:val="Table Grid"/>
    <w:basedOn w:val="a1"/>
    <w:rsid w:val="00EB4C64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EB4C64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EB4C64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EB4C64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EB4C6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EB4C6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EB4C6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EB4C6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EB4C6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EB4C6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EB4C6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EB4C6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EB4C6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EB4C64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EB4C64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EB4C64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EB4C64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EB4C64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EB4C64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EB4C64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EB4C64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EB4C64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EB4C64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EB4C64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EB4C64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EB4C64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EB4C64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EB4C64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EB4C64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Hyperlink"/>
    <w:rsid w:val="00EB4C64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EB4C64"/>
    <w:pPr>
      <w:spacing w:after="40"/>
    </w:pPr>
    <w:rPr>
      <w:sz w:val="18"/>
      <w:szCs w:val="20"/>
      <w:lang/>
    </w:rPr>
  </w:style>
  <w:style w:type="character" w:customStyle="1" w:styleId="ae">
    <w:name w:val="Текст сноски Знак"/>
    <w:link w:val="ad"/>
    <w:uiPriority w:val="99"/>
    <w:rsid w:val="00EB4C64"/>
    <w:rPr>
      <w:sz w:val="18"/>
    </w:rPr>
  </w:style>
  <w:style w:type="character" w:styleId="af">
    <w:name w:val="footnote reference"/>
    <w:uiPriority w:val="99"/>
    <w:unhideWhenUsed/>
    <w:rsid w:val="00EB4C64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EB4C64"/>
    <w:rPr>
      <w:sz w:val="20"/>
      <w:szCs w:val="20"/>
      <w:lang/>
    </w:rPr>
  </w:style>
  <w:style w:type="character" w:customStyle="1" w:styleId="af1">
    <w:name w:val="Текст концевой сноски Знак"/>
    <w:link w:val="af0"/>
    <w:uiPriority w:val="99"/>
    <w:rsid w:val="00EB4C64"/>
    <w:rPr>
      <w:sz w:val="20"/>
    </w:rPr>
  </w:style>
  <w:style w:type="character" w:styleId="af2">
    <w:name w:val="endnote reference"/>
    <w:uiPriority w:val="99"/>
    <w:semiHidden/>
    <w:unhideWhenUsed/>
    <w:rsid w:val="00EB4C64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EB4C64"/>
    <w:pPr>
      <w:spacing w:after="57"/>
    </w:pPr>
  </w:style>
  <w:style w:type="paragraph" w:styleId="21">
    <w:name w:val="toc 2"/>
    <w:basedOn w:val="a"/>
    <w:next w:val="a"/>
    <w:uiPriority w:val="39"/>
    <w:unhideWhenUsed/>
    <w:rsid w:val="00EB4C64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EB4C64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EB4C64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EB4C64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EB4C64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EB4C64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EB4C64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EB4C64"/>
    <w:pPr>
      <w:spacing w:after="57"/>
      <w:ind w:left="2268"/>
    </w:pPr>
  </w:style>
  <w:style w:type="paragraph" w:styleId="af3">
    <w:name w:val="TOC Heading"/>
    <w:uiPriority w:val="39"/>
    <w:unhideWhenUsed/>
    <w:rsid w:val="00EB4C64"/>
    <w:rPr>
      <w:lang w:eastAsia="zh-CN"/>
    </w:rPr>
  </w:style>
  <w:style w:type="paragraph" w:styleId="af4">
    <w:name w:val="table of figures"/>
    <w:basedOn w:val="a"/>
    <w:next w:val="a"/>
    <w:uiPriority w:val="99"/>
    <w:unhideWhenUsed/>
    <w:rsid w:val="00EB4C64"/>
  </w:style>
  <w:style w:type="paragraph" w:styleId="af5">
    <w:name w:val="Balloon Text"/>
    <w:basedOn w:val="a"/>
    <w:semiHidden/>
    <w:rsid w:val="00EB4C64"/>
    <w:rPr>
      <w:rFonts w:ascii="Tahoma" w:hAnsi="Tahoma" w:cs="Tahoma"/>
      <w:sz w:val="16"/>
      <w:szCs w:val="16"/>
    </w:rPr>
  </w:style>
  <w:style w:type="paragraph" w:styleId="af6">
    <w:name w:val="Body Text Indent"/>
    <w:basedOn w:val="a"/>
    <w:rsid w:val="00EB4C64"/>
    <w:pPr>
      <w:spacing w:before="2400"/>
      <w:ind w:left="6481"/>
    </w:pPr>
    <w:rPr>
      <w:sz w:val="28"/>
      <w:szCs w:val="20"/>
    </w:rPr>
  </w:style>
  <w:style w:type="paragraph" w:styleId="af7">
    <w:name w:val="Body Text"/>
    <w:basedOn w:val="a"/>
    <w:rsid w:val="00EB4C64"/>
    <w:pPr>
      <w:spacing w:after="120"/>
    </w:pPr>
  </w:style>
  <w:style w:type="paragraph" w:styleId="af8">
    <w:name w:val="Normal (Web)"/>
    <w:basedOn w:val="a"/>
    <w:uiPriority w:val="99"/>
    <w:rsid w:val="00EB4C6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B4C64"/>
  </w:style>
  <w:style w:type="character" w:customStyle="1" w:styleId="visited">
    <w:name w:val="visited"/>
    <w:basedOn w:val="a0"/>
    <w:rsid w:val="00EB4C64"/>
  </w:style>
  <w:style w:type="character" w:customStyle="1" w:styleId="blk">
    <w:name w:val="blk"/>
    <w:basedOn w:val="a0"/>
    <w:rsid w:val="00EB4C64"/>
  </w:style>
  <w:style w:type="character" w:customStyle="1" w:styleId="match">
    <w:name w:val="match"/>
    <w:basedOn w:val="a0"/>
    <w:rsid w:val="00EB4C64"/>
  </w:style>
  <w:style w:type="paragraph" w:customStyle="1" w:styleId="formattexttopleveltext">
    <w:name w:val="formattext topleveltext"/>
    <w:basedOn w:val="a"/>
    <w:rsid w:val="00EB4C64"/>
    <w:pPr>
      <w:spacing w:before="100" w:beforeAutospacing="1" w:after="100" w:afterAutospacing="1"/>
    </w:pPr>
  </w:style>
  <w:style w:type="paragraph" w:styleId="22">
    <w:name w:val="Body Text Indent 2"/>
    <w:basedOn w:val="a"/>
    <w:rsid w:val="00EB4C64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rsid w:val="00EB4C64"/>
    <w:rPr>
      <w:sz w:val="26"/>
      <w:szCs w:val="26"/>
    </w:rPr>
  </w:style>
  <w:style w:type="paragraph" w:customStyle="1" w:styleId="af9">
    <w:name w:val="Знак Знак Знак Знак Знак Знак Знак Знак Знак Знак Знак Знак"/>
    <w:basedOn w:val="a"/>
    <w:rsid w:val="00EB4C6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rsid w:val="00EB4C64"/>
    <w:rPr>
      <w:sz w:val="26"/>
      <w:szCs w:val="26"/>
      <w:lang w:val="ru-RU" w:eastAsia="ru-RU" w:bidi="ar-SA"/>
    </w:rPr>
  </w:style>
  <w:style w:type="character" w:customStyle="1" w:styleId="a6">
    <w:name w:val="Название Знак"/>
    <w:link w:val="a5"/>
    <w:rsid w:val="00EB4C64"/>
    <w:rPr>
      <w:b/>
      <w:sz w:val="24"/>
      <w:lang w:val="ru-RU" w:eastAsia="ru-RU" w:bidi="ar-SA"/>
    </w:rPr>
  </w:style>
  <w:style w:type="character" w:styleId="afa">
    <w:name w:val="Strong"/>
    <w:uiPriority w:val="22"/>
    <w:qFormat/>
    <w:rsid w:val="00EB4C64"/>
    <w:rPr>
      <w:b/>
      <w:bCs/>
    </w:rPr>
  </w:style>
  <w:style w:type="character" w:styleId="afb">
    <w:name w:val="Emphasis"/>
    <w:uiPriority w:val="20"/>
    <w:qFormat/>
    <w:rsid w:val="00EB4C64"/>
    <w:rPr>
      <w:i/>
      <w:iCs/>
    </w:rPr>
  </w:style>
  <w:style w:type="paragraph" w:customStyle="1" w:styleId="Standard">
    <w:name w:val="Standard"/>
    <w:qFormat/>
    <w:rsid w:val="00EB4C64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</w:pPr>
    <w:rPr>
      <w:rFonts w:ascii="Liberation Serif" w:hAnsi="Liberation Serif" w:cs="Liberation Serif"/>
      <w:color w:val="000000"/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open-service/statistika-i-analitika/zemleustroystvo-i-monitoring-zemel/monitoring-zemel/" TargetMode="External"/><Relationship Id="rId13" Type="http://schemas.openxmlformats.org/officeDocument/2006/relationships/hyperlink" Target="mailto:oko@r54.rosreestr.ru" TargetMode="External"/><Relationship Id="rId18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rosreestr.gov.ru/open-service/statistika-i-analitika/zemleustroystvo-i-monitoring-zemel/" TargetMode="External"/><Relationship Id="rId17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6" Type="http://schemas.openxmlformats.org/officeDocument/2006/relationships/hyperlink" Target="https://ok.ru/group/7000000098786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osreestr.gov.ru/open-service/statistika-i-analitika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k.com/rosreestr_nsk" TargetMode="External"/><Relationship Id="rId10" Type="http://schemas.openxmlformats.org/officeDocument/2006/relationships/hyperlink" Target="https://rosreestr.gov.ru/open-service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yperlink" Target="https://rosreestr.gov.ru/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833</Words>
  <Characters>4753</Characters>
  <Application>Microsoft Office Word</Application>
  <DocSecurity>0</DocSecurity>
  <Lines>39</Lines>
  <Paragraphs>11</Paragraphs>
  <ScaleCrop>false</ScaleCrop>
  <Company>Microsoft</Company>
  <LinksUpToDate>false</LinksUpToDate>
  <CharactersWithSpaces>5575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Чтобы упростить процедуру предоставления государственных услуг, сократить ее сроки и сделать обслуживание более качественным и доступным, Управление Федеральной службы государственной регистрации, кадастра и картографии (далее - Росреестра) по Новосибирс</dc:title>
  <dc:creator>user</dc:creator>
  <cp:lastModifiedBy>Пользователь Windows</cp:lastModifiedBy>
  <cp:revision>304</cp:revision>
  <dcterms:created xsi:type="dcterms:W3CDTF">2009-04-08T02:19:00Z</dcterms:created>
  <dcterms:modified xsi:type="dcterms:W3CDTF">2025-07-22T09:12:00Z</dcterms:modified>
  <cp:version>917504</cp:version>
</cp:coreProperties>
</file>